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ozloenietabuky"/>
        <w:tblpPr w:leftFromText="141" w:rightFromText="141" w:vertAnchor="text" w:tblpX="-142" w:tblpY="1"/>
        <w:tblOverlap w:val="never"/>
        <w:tblW w:w="16004" w:type="dxa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26"/>
        <w:gridCol w:w="24"/>
        <w:gridCol w:w="20"/>
        <w:gridCol w:w="20"/>
        <w:gridCol w:w="8274"/>
        <w:gridCol w:w="26"/>
        <w:gridCol w:w="24"/>
        <w:gridCol w:w="20"/>
        <w:gridCol w:w="57"/>
        <w:gridCol w:w="7513"/>
      </w:tblGrid>
      <w:tr w:rsidR="002B3BF5" w:rsidRPr="004A6FB9" w:rsidTr="000C702C">
        <w:trPr>
          <w:trHeight w:hRule="exact" w:val="10800"/>
        </w:trPr>
        <w:tc>
          <w:tcPr>
            <w:tcW w:w="8364" w:type="dxa"/>
            <w:gridSpan w:val="5"/>
          </w:tcPr>
          <w:p w:rsidR="002B3BF5" w:rsidRDefault="00DC35D4" w:rsidP="00DC35D4">
            <w:pPr>
              <w:pStyle w:val="Bezriadkovania1"/>
              <w:ind w:right="-481"/>
              <w:rPr>
                <w:b/>
                <w:color w:val="auto"/>
                <w:sz w:val="32"/>
                <w:lang w:val="sk-SK"/>
              </w:rPr>
            </w:pPr>
            <w:r>
              <w:rPr>
                <w:b/>
                <w:color w:val="auto"/>
                <w:sz w:val="32"/>
                <w:lang w:val="sk-SK"/>
              </w:rPr>
              <w:t xml:space="preserve">                         </w:t>
            </w:r>
            <w:r w:rsidR="00C70E2C">
              <w:rPr>
                <w:b/>
                <w:color w:val="auto"/>
                <w:sz w:val="32"/>
                <w:lang w:val="sk-SK"/>
              </w:rPr>
              <w:t xml:space="preserve">   </w:t>
            </w:r>
            <w:r>
              <w:rPr>
                <w:b/>
                <w:color w:val="auto"/>
                <w:sz w:val="32"/>
                <w:lang w:val="sk-SK"/>
              </w:rPr>
              <w:t xml:space="preserve"> Triedenie plastov</w:t>
            </w:r>
          </w:p>
          <w:p w:rsidR="00DC35D4" w:rsidRDefault="00DC35D4" w:rsidP="00DC35D4">
            <w:pPr>
              <w:pStyle w:val="Bezriadkovania1"/>
              <w:ind w:right="-481"/>
              <w:rPr>
                <w:b/>
                <w:color w:val="auto"/>
                <w:sz w:val="32"/>
                <w:lang w:val="sk-SK"/>
              </w:rPr>
            </w:pPr>
          </w:p>
          <w:p w:rsidR="00975C93" w:rsidRDefault="00975C93" w:rsidP="00DC35D4">
            <w:pPr>
              <w:pStyle w:val="Bezriadkovania1"/>
              <w:ind w:right="-481"/>
              <w:rPr>
                <w:color w:val="auto"/>
                <w:sz w:val="22"/>
                <w:lang w:val="sk-SK"/>
              </w:rPr>
            </w:pPr>
          </w:p>
          <w:p w:rsidR="00B55D71" w:rsidRPr="00B55D71" w:rsidRDefault="00B55D71" w:rsidP="00DC35D4">
            <w:pPr>
              <w:pStyle w:val="Bezriadkovania1"/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 xml:space="preserve">Aj v roku 2017 môžete okrem triedenia papiera a plastov </w:t>
            </w:r>
            <w:r w:rsidR="006A1872">
              <w:rPr>
                <w:color w:val="auto"/>
                <w:sz w:val="22"/>
                <w:lang w:val="sk-SK"/>
              </w:rPr>
              <w:t>do na to určených       kontajnerov rozmiestnených v obci, triediť plasty aj do vriec. V určených               termínoch si jednoducho vyložíte pred dom vrecia s plastami, my Vám ich          odvezieme, a namiesto plných vriec dostanete nové, prázdne.</w:t>
            </w:r>
          </w:p>
          <w:p w:rsidR="00DC35D4" w:rsidRDefault="00DC35D4" w:rsidP="00B55D71">
            <w:pPr>
              <w:pStyle w:val="Bezriadkovania1"/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 xml:space="preserve">Správnym triedením plastov sa môže znížiť hmotnosť komunálneho </w:t>
            </w:r>
            <w:r w:rsidR="00B55D71">
              <w:rPr>
                <w:color w:val="auto"/>
                <w:sz w:val="22"/>
                <w:lang w:val="sk-SK"/>
              </w:rPr>
              <w:t xml:space="preserve">                                           </w:t>
            </w:r>
            <w:r>
              <w:rPr>
                <w:color w:val="auto"/>
                <w:sz w:val="22"/>
                <w:lang w:val="sk-SK"/>
              </w:rPr>
              <w:t xml:space="preserve">odpadu až o 25%. </w:t>
            </w:r>
            <w:r w:rsidR="00B55D71">
              <w:rPr>
                <w:color w:val="auto"/>
                <w:sz w:val="22"/>
                <w:lang w:val="sk-SK"/>
              </w:rPr>
              <w:t>Prispejte aj Vy k lepšej ochrane životného prostredia.</w:t>
            </w:r>
          </w:p>
          <w:p w:rsidR="00B55D71" w:rsidRDefault="00B55D71" w:rsidP="00B55D71">
            <w:pPr>
              <w:pStyle w:val="Bezriadkovania1"/>
              <w:ind w:right="-481"/>
              <w:rPr>
                <w:color w:val="auto"/>
                <w:sz w:val="22"/>
                <w:lang w:val="sk-SK"/>
              </w:rPr>
            </w:pPr>
          </w:p>
          <w:p w:rsidR="00B84AC3" w:rsidRDefault="00B55D71" w:rsidP="00B55D71">
            <w:pPr>
              <w:pStyle w:val="Bezriadkovania1"/>
              <w:ind w:right="-481"/>
              <w:rPr>
                <w:color w:val="auto"/>
                <w:sz w:val="22"/>
                <w:lang w:val="sk-SK"/>
              </w:rPr>
            </w:pPr>
            <w:r w:rsidRPr="00B55D71">
              <w:rPr>
                <w:b/>
                <w:color w:val="auto"/>
                <w:sz w:val="22"/>
                <w:lang w:val="sk-SK"/>
              </w:rPr>
              <w:t>Medzi plasty patria</w:t>
            </w:r>
            <w:r>
              <w:rPr>
                <w:color w:val="auto"/>
                <w:sz w:val="22"/>
                <w:lang w:val="sk-SK"/>
              </w:rPr>
              <w:t xml:space="preserve">: </w:t>
            </w:r>
            <w:r w:rsidRPr="00B55D71">
              <w:rPr>
                <w:color w:val="auto"/>
                <w:sz w:val="22"/>
              </w:rPr>
              <w:t>plastové fľaše od minerálok, sladených vôd,  sirupov,</w:t>
            </w:r>
            <w:r>
              <w:rPr>
                <w:color w:val="auto"/>
                <w:sz w:val="22"/>
              </w:rPr>
              <w:t xml:space="preserve">                         </w:t>
            </w:r>
            <w:r w:rsidRPr="00B55D71">
              <w:rPr>
                <w:color w:val="auto"/>
                <w:sz w:val="22"/>
              </w:rPr>
              <w:t xml:space="preserve"> </w:t>
            </w:r>
            <w:r w:rsidR="00B429FF">
              <w:rPr>
                <w:color w:val="auto"/>
                <w:sz w:val="22"/>
              </w:rPr>
              <w:t xml:space="preserve">jedlého </w:t>
            </w:r>
            <w:r w:rsidRPr="00B55D71">
              <w:rPr>
                <w:color w:val="auto"/>
                <w:sz w:val="22"/>
              </w:rPr>
              <w:t xml:space="preserve">oleja, octu, čistiacich a hygienických potrieb, plastové obaly </w:t>
            </w:r>
            <w:r w:rsidR="00975C93">
              <w:rPr>
                <w:color w:val="auto"/>
                <w:sz w:val="22"/>
              </w:rPr>
              <w:t xml:space="preserve">                                     </w:t>
            </w:r>
            <w:r w:rsidRPr="00B55D71">
              <w:rPr>
                <w:color w:val="auto"/>
                <w:sz w:val="22"/>
              </w:rPr>
              <w:t>od jogurtov,</w:t>
            </w:r>
            <w:r>
              <w:rPr>
                <w:color w:val="auto"/>
                <w:sz w:val="22"/>
              </w:rPr>
              <w:t xml:space="preserve">  </w:t>
            </w:r>
            <w:r w:rsidRPr="00B55D71">
              <w:rPr>
                <w:color w:val="auto"/>
                <w:sz w:val="22"/>
              </w:rPr>
              <w:t>masla, pomazánok, potravín, cukroviniek, cestovín,</w:t>
            </w:r>
            <w:r w:rsidR="00975C93">
              <w:rPr>
                <w:color w:val="auto"/>
                <w:sz w:val="22"/>
              </w:rPr>
              <w:t xml:space="preserve">                            kozmetiky, </w:t>
            </w:r>
            <w:r w:rsidRPr="00B55D71">
              <w:rPr>
                <w:color w:val="auto"/>
                <w:sz w:val="22"/>
              </w:rPr>
              <w:t>obalové fólie,</w:t>
            </w:r>
            <w:r>
              <w:rPr>
                <w:color w:val="auto"/>
                <w:sz w:val="22"/>
              </w:rPr>
              <w:t xml:space="preserve"> </w:t>
            </w:r>
            <w:r w:rsidRPr="00B55D71">
              <w:rPr>
                <w:color w:val="auto"/>
                <w:sz w:val="22"/>
              </w:rPr>
              <w:t>drobné plastové predmety, bandasky,... </w:t>
            </w:r>
          </w:p>
          <w:p w:rsidR="00B84AC3" w:rsidRDefault="00B84AC3" w:rsidP="00B84AC3">
            <w:pPr>
              <w:rPr>
                <w:lang w:val="sk-SK"/>
              </w:rPr>
            </w:pPr>
          </w:p>
          <w:p w:rsidR="00C70E2C" w:rsidRDefault="00C70E2C" w:rsidP="00B84AC3">
            <w:pPr>
              <w:rPr>
                <w:lang w:val="sk-SK"/>
              </w:rPr>
            </w:pPr>
          </w:p>
          <w:p w:rsidR="00C70E2C" w:rsidRPr="00C70E2C" w:rsidRDefault="00C70E2C" w:rsidP="00C70E2C">
            <w:pPr>
              <w:rPr>
                <w:b/>
                <w:sz w:val="32"/>
                <w:szCs w:val="22"/>
                <w:lang w:val="sk-SK"/>
              </w:rPr>
            </w:pPr>
            <w:r>
              <w:rPr>
                <w:b/>
                <w:sz w:val="32"/>
                <w:szCs w:val="22"/>
                <w:lang w:val="sk-SK"/>
              </w:rPr>
              <w:t xml:space="preserve">                      </w:t>
            </w:r>
            <w:r w:rsidR="00B84AC3" w:rsidRPr="00C70E2C">
              <w:rPr>
                <w:b/>
                <w:sz w:val="32"/>
                <w:szCs w:val="22"/>
                <w:lang w:val="sk-SK"/>
              </w:rPr>
              <w:t>A műanyag osztályozása</w:t>
            </w:r>
          </w:p>
          <w:p w:rsidR="00C70E2C" w:rsidRDefault="00C70E2C" w:rsidP="00B84AC3">
            <w:pPr>
              <w:rPr>
                <w:sz w:val="22"/>
                <w:szCs w:val="22"/>
                <w:lang w:val="sk-SK"/>
              </w:rPr>
            </w:pPr>
          </w:p>
          <w:p w:rsidR="00B84AC3" w:rsidRPr="00C70E2C" w:rsidRDefault="00B84AC3" w:rsidP="00B84AC3">
            <w:pPr>
              <w:rPr>
                <w:color w:val="auto"/>
                <w:sz w:val="22"/>
                <w:szCs w:val="22"/>
                <w:lang w:val="sk-SK"/>
              </w:rPr>
            </w:pPr>
            <w:r w:rsidRPr="00C70E2C">
              <w:rPr>
                <w:color w:val="auto"/>
                <w:sz w:val="22"/>
                <w:szCs w:val="22"/>
                <w:lang w:val="sk-SK"/>
              </w:rPr>
              <w:t xml:space="preserve">A 2017-es évben is a lakosoknak lehetőségük van a papír és a  műanyag osztályozására a faluban  az arra kijelölt 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>és széthelyezett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konténereken kívül  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 xml:space="preserve">a műanyag ostályozására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zsákokba is. A megadott időpontokban csak kiteszik</w:t>
            </w:r>
            <w:r w:rsidR="00C70E2C" w:rsidRPr="00C70E2C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          </w:t>
            </w:r>
            <w:r w:rsidR="00C70E2C" w:rsidRPr="00C70E2C">
              <w:rPr>
                <w:color w:val="auto"/>
                <w:sz w:val="22"/>
                <w:szCs w:val="22"/>
                <w:lang w:val="sk-SK"/>
              </w:rPr>
              <w:t>a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házuk elé a műanyaggal megtöltött zsákokat, mi összegyűjtjük és elvisszük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>,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C70E2C" w:rsidRPr="00C70E2C">
              <w:rPr>
                <w:color w:val="auto"/>
                <w:sz w:val="22"/>
                <w:szCs w:val="22"/>
                <w:lang w:val="sk-SK"/>
              </w:rPr>
              <w:t xml:space="preserve"> 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valamint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hagy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>unk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 xml:space="preserve"> helyette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9C0C1F" w:rsidRPr="00C70E2C">
              <w:rPr>
                <w:color w:val="auto"/>
                <w:sz w:val="22"/>
                <w:szCs w:val="22"/>
                <w:lang w:val="sk-SK"/>
              </w:rPr>
              <w:t xml:space="preserve"> új,  üres zsákot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.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A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 műanyag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helyes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      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osztályozásával a komunális hulladé</w:t>
            </w:r>
            <w:r w:rsidR="00F33E3F" w:rsidRPr="00C70E2C">
              <w:rPr>
                <w:color w:val="auto"/>
                <w:sz w:val="22"/>
                <w:szCs w:val="22"/>
                <w:lang w:val="sk-SK"/>
              </w:rPr>
              <w:t>k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mennyiségét akár 25%-kal is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    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csökkenthetjük. Így hozzájárulhatunk környezetük </w:t>
            </w:r>
            <w:r w:rsidR="00F33E3F" w:rsidRPr="00C70E2C">
              <w:rPr>
                <w:color w:val="auto"/>
                <w:sz w:val="22"/>
                <w:szCs w:val="22"/>
                <w:lang w:val="sk-SK"/>
              </w:rPr>
              <w:t>jobb védelméhez.</w:t>
            </w:r>
          </w:p>
          <w:p w:rsidR="00F33E3F" w:rsidRPr="00B84AC3" w:rsidRDefault="00F33E3F" w:rsidP="00975C93">
            <w:pPr>
              <w:rPr>
                <w:lang w:val="sk-SK"/>
              </w:rPr>
            </w:pPr>
            <w:r w:rsidRPr="00C70E2C">
              <w:rPr>
                <w:b/>
                <w:color w:val="auto"/>
                <w:sz w:val="22"/>
                <w:szCs w:val="22"/>
                <w:lang w:val="sk-SK"/>
              </w:rPr>
              <w:t>Műanyaghoz tartozik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:vizek, édesített vizek, szirupok,</w:t>
            </w:r>
            <w:r w:rsidR="00B429FF" w:rsidRPr="00C70E2C">
              <w:rPr>
                <w:color w:val="auto"/>
                <w:sz w:val="22"/>
                <w:szCs w:val="22"/>
                <w:lang w:val="sk-SK"/>
              </w:rPr>
              <w:t>étolaj,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ecet, 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          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>tisztítószerek és higiéniai szerek műanyagflakonjai , jogurtok, vajak, kenők, élelmiszerek,</w:t>
            </w:r>
            <w:r w:rsidR="00C70E2C">
              <w:rPr>
                <w:color w:val="auto"/>
                <w:sz w:val="22"/>
                <w:szCs w:val="22"/>
                <w:lang w:val="sk-SK"/>
              </w:rPr>
              <w:t xml:space="preserve">  </w:t>
            </w:r>
            <w:r w:rsidRPr="00C70E2C">
              <w:rPr>
                <w:color w:val="auto"/>
                <w:sz w:val="22"/>
                <w:szCs w:val="22"/>
                <w:lang w:val="sk-SK"/>
              </w:rPr>
              <w:t xml:space="preserve"> cukorkák, tészták,kozmetikai szerek csomagolásai</w:t>
            </w:r>
            <w:r w:rsidR="00524533" w:rsidRPr="00C70E2C">
              <w:rPr>
                <w:color w:val="auto"/>
                <w:sz w:val="22"/>
                <w:szCs w:val="22"/>
                <w:lang w:val="sk-SK"/>
              </w:rPr>
              <w:t>, csomagoló</w:t>
            </w:r>
            <w:r w:rsidR="00975C93">
              <w:rPr>
                <w:color w:val="auto"/>
                <w:sz w:val="22"/>
                <w:szCs w:val="22"/>
                <w:lang w:val="sk-SK"/>
              </w:rPr>
              <w:t xml:space="preserve">     </w:t>
            </w:r>
            <w:r w:rsidR="00524533" w:rsidRPr="00C70E2C">
              <w:rPr>
                <w:color w:val="auto"/>
                <w:sz w:val="22"/>
                <w:szCs w:val="22"/>
                <w:lang w:val="sk-SK"/>
              </w:rPr>
              <w:t xml:space="preserve"> fóliák, apró műanyag dolgok</w:t>
            </w:r>
          </w:p>
        </w:tc>
        <w:tc>
          <w:tcPr>
            <w:tcW w:w="26" w:type="dxa"/>
          </w:tcPr>
          <w:p w:rsidR="002B3BF5" w:rsidRPr="00394ACA" w:rsidRDefault="002B3BF5" w:rsidP="008442CD">
            <w:pPr>
              <w:ind w:right="-481"/>
              <w:rPr>
                <w:lang w:val="sk-SK"/>
              </w:rPr>
            </w:pPr>
          </w:p>
        </w:tc>
        <w:tc>
          <w:tcPr>
            <w:tcW w:w="24" w:type="dxa"/>
          </w:tcPr>
          <w:p w:rsidR="002B3BF5" w:rsidRPr="00394ACA" w:rsidRDefault="002B3BF5" w:rsidP="008442CD">
            <w:pPr>
              <w:ind w:right="-481"/>
              <w:rPr>
                <w:lang w:val="sk-SK"/>
              </w:rPr>
            </w:pPr>
          </w:p>
        </w:tc>
        <w:tc>
          <w:tcPr>
            <w:tcW w:w="20" w:type="dxa"/>
          </w:tcPr>
          <w:p w:rsidR="002B3BF5" w:rsidRPr="004A6FB9" w:rsidRDefault="002B3BF5" w:rsidP="008442CD">
            <w:pPr>
              <w:ind w:right="-481"/>
              <w:rPr>
                <w:sz w:val="28"/>
                <w:lang w:val="sk-SK"/>
              </w:rPr>
            </w:pPr>
          </w:p>
        </w:tc>
        <w:tc>
          <w:tcPr>
            <w:tcW w:w="57" w:type="dxa"/>
          </w:tcPr>
          <w:p w:rsidR="002B3BF5" w:rsidRPr="004A6FB9" w:rsidRDefault="002B3BF5" w:rsidP="008442CD">
            <w:pPr>
              <w:ind w:right="-481"/>
              <w:rPr>
                <w:sz w:val="28"/>
                <w:lang w:val="sk-SK"/>
              </w:rPr>
            </w:pPr>
          </w:p>
        </w:tc>
        <w:tc>
          <w:tcPr>
            <w:tcW w:w="7513" w:type="dxa"/>
          </w:tcPr>
          <w:p w:rsidR="008442CD" w:rsidRPr="008442CD" w:rsidRDefault="002B3BF5" w:rsidP="008442CD">
            <w:pPr>
              <w:ind w:right="-481"/>
              <w:jc w:val="center"/>
              <w:rPr>
                <w:b/>
                <w:noProof/>
                <w:color w:val="auto"/>
                <w:sz w:val="32"/>
                <w:lang w:val="sk-SK" w:eastAsia="sk-SK"/>
              </w:rPr>
            </w:pPr>
            <w:r w:rsidRPr="008442CD">
              <w:rPr>
                <w:b/>
                <w:noProof/>
                <w:color w:val="auto"/>
                <w:sz w:val="36"/>
                <w:lang w:val="sk-SK" w:eastAsia="sk-SK"/>
              </w:rPr>
              <w:t xml:space="preserve">Zber plastov vo vreciach  </w:t>
            </w:r>
            <w:r w:rsidRPr="008442CD">
              <w:rPr>
                <w:b/>
                <w:noProof/>
                <w:color w:val="auto"/>
                <w:sz w:val="32"/>
                <w:lang w:val="sk-SK" w:eastAsia="sk-SK"/>
              </w:rPr>
              <w:t xml:space="preserve">      </w:t>
            </w:r>
          </w:p>
          <w:p w:rsidR="00167772" w:rsidRDefault="002B3BF5" w:rsidP="008442CD">
            <w:pPr>
              <w:ind w:right="-481"/>
              <w:jc w:val="center"/>
              <w:rPr>
                <w:b/>
                <w:i/>
                <w:color w:val="auto"/>
                <w:sz w:val="22"/>
                <w:lang w:val="sk-SK"/>
              </w:rPr>
            </w:pPr>
            <w:r w:rsidRPr="008442CD">
              <w:rPr>
                <w:b/>
                <w:noProof/>
                <w:color w:val="auto"/>
                <w:sz w:val="32"/>
                <w:lang w:val="sk-SK" w:eastAsia="sk-SK"/>
              </w:rPr>
              <w:t xml:space="preserve"> </w:t>
            </w:r>
            <w:r w:rsidRPr="008442CD">
              <w:rPr>
                <w:i/>
                <w:color w:val="auto"/>
                <w:sz w:val="22"/>
                <w:lang w:val="sk-SK"/>
              </w:rPr>
              <w:t xml:space="preserve">Zber triedeného odpadu z plastov vo vreciach bude v roku </w:t>
            </w:r>
            <w:r w:rsidRPr="008442CD">
              <w:rPr>
                <w:b/>
                <w:i/>
                <w:color w:val="auto"/>
                <w:sz w:val="22"/>
                <w:lang w:val="sk-SK"/>
              </w:rPr>
              <w:t>201</w:t>
            </w:r>
            <w:r w:rsidR="008442CD" w:rsidRPr="008442CD">
              <w:rPr>
                <w:b/>
                <w:i/>
                <w:color w:val="auto"/>
                <w:sz w:val="22"/>
                <w:lang w:val="sk-SK"/>
              </w:rPr>
              <w:t>7</w:t>
            </w:r>
          </w:p>
          <w:p w:rsidR="002B3BF5" w:rsidRPr="008442CD" w:rsidRDefault="002B3BF5" w:rsidP="008442CD">
            <w:pPr>
              <w:ind w:right="-481"/>
              <w:jc w:val="center"/>
              <w:rPr>
                <w:b/>
                <w:color w:val="auto"/>
                <w:sz w:val="32"/>
                <w:lang w:val="sk-SK"/>
              </w:rPr>
            </w:pPr>
            <w:r w:rsidRPr="008442CD">
              <w:rPr>
                <w:i/>
                <w:color w:val="auto"/>
                <w:sz w:val="22"/>
                <w:lang w:val="sk-SK"/>
              </w:rPr>
              <w:t xml:space="preserve"> v nasledovných termínoch:</w:t>
            </w:r>
          </w:p>
          <w:p w:rsidR="002B3BF5" w:rsidRPr="008442CD" w:rsidRDefault="006C66B8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 xml:space="preserve"> </w:t>
            </w:r>
            <w:r w:rsidR="008442CD">
              <w:rPr>
                <w:color w:val="auto"/>
                <w:sz w:val="22"/>
                <w:lang w:val="sk-SK"/>
              </w:rPr>
              <w:t>27.01</w:t>
            </w:r>
            <w:r w:rsidR="008442CD" w:rsidRPr="008442CD">
              <w:rPr>
                <w:color w:val="auto"/>
                <w:sz w:val="22"/>
                <w:lang w:val="sk-SK"/>
              </w:rPr>
              <w:t>.2017</w:t>
            </w:r>
            <w:r w:rsidR="008442CD">
              <w:rPr>
                <w:color w:val="auto"/>
                <w:sz w:val="22"/>
                <w:lang w:val="sk-SK"/>
              </w:rPr>
              <w:t xml:space="preserve">                            -    07.07.2017</w:t>
            </w:r>
            <w:r w:rsidR="00167772">
              <w:rPr>
                <w:color w:val="auto"/>
                <w:sz w:val="22"/>
                <w:lang w:val="sk-SK"/>
              </w:rPr>
              <w:t xml:space="preserve">                       -   27.10.2017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24.02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         -    21.07.2017</w:t>
            </w:r>
            <w:r w:rsidR="00167772">
              <w:rPr>
                <w:color w:val="auto"/>
                <w:sz w:val="22"/>
                <w:lang w:val="sk-SK"/>
              </w:rPr>
              <w:t xml:space="preserve">                       -   24.11.2017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31.03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         -    04.08.2017</w:t>
            </w:r>
            <w:r w:rsidR="00167772">
              <w:rPr>
                <w:color w:val="auto"/>
                <w:sz w:val="22"/>
                <w:lang w:val="sk-SK"/>
              </w:rPr>
              <w:t xml:space="preserve">                       -   29.12.2017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28.04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         -    18.08.2017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12.05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</w:t>
            </w:r>
            <w:r w:rsidR="00167772">
              <w:rPr>
                <w:color w:val="auto"/>
                <w:sz w:val="22"/>
                <w:lang w:val="sk-SK"/>
              </w:rPr>
              <w:t xml:space="preserve"> </w:t>
            </w:r>
            <w:r>
              <w:rPr>
                <w:color w:val="auto"/>
                <w:sz w:val="22"/>
                <w:lang w:val="sk-SK"/>
              </w:rPr>
              <w:t xml:space="preserve">        -    01.09.2017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26.05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         -    15.09.2017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09.06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>
              <w:rPr>
                <w:color w:val="auto"/>
                <w:sz w:val="22"/>
                <w:lang w:val="sk-SK"/>
              </w:rPr>
              <w:t xml:space="preserve">                            -    </w:t>
            </w:r>
            <w:r w:rsidR="00167772">
              <w:rPr>
                <w:color w:val="auto"/>
                <w:sz w:val="22"/>
                <w:lang w:val="sk-SK"/>
              </w:rPr>
              <w:t>29.09.2017</w:t>
            </w:r>
          </w:p>
          <w:p w:rsidR="002B3BF5" w:rsidRPr="008442CD" w:rsidRDefault="008442CD" w:rsidP="008442CD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23.06</w:t>
            </w:r>
            <w:r w:rsidRPr="008442CD">
              <w:rPr>
                <w:color w:val="auto"/>
                <w:sz w:val="22"/>
                <w:lang w:val="sk-SK"/>
              </w:rPr>
              <w:t>.2017</w:t>
            </w:r>
            <w:r w:rsidR="00167772">
              <w:rPr>
                <w:color w:val="auto"/>
                <w:sz w:val="22"/>
                <w:lang w:val="sk-SK"/>
              </w:rPr>
              <w:t xml:space="preserve">                            -    13.10.2017</w:t>
            </w:r>
          </w:p>
          <w:p w:rsidR="002B3BF5" w:rsidRDefault="002B3BF5" w:rsidP="00A601EA">
            <w:pPr>
              <w:ind w:right="-481"/>
              <w:jc w:val="center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Zamestnanci obce odovzdajú občanom za každé vyložené vrece</w:t>
            </w:r>
            <w:r w:rsidR="00A601EA">
              <w:rPr>
                <w:color w:val="auto"/>
                <w:sz w:val="22"/>
                <w:lang w:val="sk-SK"/>
              </w:rPr>
              <w:t xml:space="preserve">                       </w:t>
            </w:r>
            <w:r w:rsidR="00167772">
              <w:rPr>
                <w:color w:val="auto"/>
                <w:sz w:val="22"/>
                <w:lang w:val="sk-SK"/>
              </w:rPr>
              <w:t>j</w:t>
            </w:r>
            <w:r w:rsidR="00A601EA">
              <w:rPr>
                <w:color w:val="auto"/>
                <w:sz w:val="22"/>
                <w:lang w:val="sk-SK"/>
              </w:rPr>
              <w:t>edno nové</w:t>
            </w:r>
            <w:r w:rsidRPr="008442CD">
              <w:rPr>
                <w:color w:val="auto"/>
                <w:sz w:val="22"/>
                <w:lang w:val="sk-SK"/>
              </w:rPr>
              <w:t xml:space="preserve"> vrece.</w:t>
            </w:r>
          </w:p>
          <w:p w:rsidR="00A601EA" w:rsidRPr="008442CD" w:rsidRDefault="00A601EA" w:rsidP="00A601EA">
            <w:pPr>
              <w:ind w:right="-481"/>
              <w:jc w:val="center"/>
              <w:rPr>
                <w:color w:val="auto"/>
                <w:sz w:val="22"/>
                <w:lang w:val="sk-SK"/>
              </w:rPr>
            </w:pPr>
          </w:p>
          <w:p w:rsidR="002B3BF5" w:rsidRPr="008442CD" w:rsidRDefault="002B3BF5" w:rsidP="008442CD">
            <w:pPr>
              <w:ind w:right="-481"/>
              <w:jc w:val="center"/>
              <w:rPr>
                <w:b/>
                <w:color w:val="auto"/>
                <w:sz w:val="32"/>
                <w:lang w:val="sk-SK"/>
              </w:rPr>
            </w:pPr>
            <w:r w:rsidRPr="008442CD">
              <w:rPr>
                <w:b/>
                <w:color w:val="auto"/>
                <w:sz w:val="32"/>
                <w:lang w:val="sk-SK"/>
              </w:rPr>
              <w:t>Műanyag hulladék szedése zsákokkal</w:t>
            </w:r>
          </w:p>
          <w:p w:rsidR="002B3BF5" w:rsidRPr="008442CD" w:rsidRDefault="006C66B8" w:rsidP="008442CD">
            <w:pPr>
              <w:ind w:right="-481"/>
              <w:jc w:val="center"/>
              <w:rPr>
                <w:color w:val="auto"/>
                <w:sz w:val="22"/>
                <w:lang w:val="sk-SK"/>
              </w:rPr>
            </w:pPr>
            <w:r>
              <w:rPr>
                <w:color w:val="auto"/>
                <w:sz w:val="22"/>
                <w:lang w:val="sk-SK"/>
              </w:rPr>
              <w:t>A </w:t>
            </w:r>
            <w:r w:rsidRPr="006C66B8">
              <w:rPr>
                <w:b/>
                <w:color w:val="auto"/>
                <w:sz w:val="22"/>
                <w:lang w:val="sk-SK"/>
              </w:rPr>
              <w:t>2017</w:t>
            </w:r>
            <w:r w:rsidR="002B3BF5" w:rsidRPr="008442CD">
              <w:rPr>
                <w:color w:val="auto"/>
                <w:sz w:val="22"/>
                <w:lang w:val="sk-SK"/>
              </w:rPr>
              <w:t>-os évben a következő időpontokban lesznek szedve a zsákok: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.01.27                            -    2017.07.07                       -   2017.10.27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.02.24                            -    2017.07.21                       -   2017.11.24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.03.31                            -    2017.08.04                       -   2017.12.29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.04.28                            -    2017.08.18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.05.12                            -    2017.09.01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.05.26                            -    2017.09.15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.06.09                            -    2017.09.29</w:t>
            </w:r>
          </w:p>
          <w:p w:rsidR="00167772" w:rsidRPr="008442CD" w:rsidRDefault="00167772" w:rsidP="00167772">
            <w:pPr>
              <w:pStyle w:val="Odsekzoznamu"/>
              <w:numPr>
                <w:ilvl w:val="0"/>
                <w:numId w:val="8"/>
              </w:numPr>
              <w:ind w:right="-481"/>
              <w:rPr>
                <w:color w:val="auto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2017</w:t>
            </w:r>
            <w:r>
              <w:rPr>
                <w:color w:val="auto"/>
                <w:sz w:val="22"/>
                <w:lang w:val="sk-SK"/>
              </w:rPr>
              <w:t>.06.23                            -    2017.10.13</w:t>
            </w:r>
          </w:p>
          <w:p w:rsidR="002B3BF5" w:rsidRPr="008442CD" w:rsidRDefault="002B3BF5" w:rsidP="008442CD">
            <w:pPr>
              <w:ind w:left="360" w:right="-481"/>
              <w:rPr>
                <w:color w:val="auto"/>
                <w:sz w:val="22"/>
                <w:lang w:val="sk-SK"/>
              </w:rPr>
            </w:pPr>
            <w:r w:rsidRPr="008442CD">
              <w:rPr>
                <w:color w:val="auto"/>
                <w:sz w:val="22"/>
                <w:lang w:val="sk-SK"/>
              </w:rPr>
              <w:t>Minden kirakott zsák helyett a községi munkások egy új zsákot adnak.</w:t>
            </w:r>
          </w:p>
          <w:p w:rsidR="002B3BF5" w:rsidRPr="008442CD" w:rsidRDefault="002B3BF5" w:rsidP="008442CD">
            <w:pPr>
              <w:ind w:right="-481"/>
              <w:rPr>
                <w:color w:val="auto"/>
                <w:lang w:val="sk-SK"/>
              </w:rPr>
            </w:pPr>
          </w:p>
        </w:tc>
      </w:tr>
      <w:tr w:rsidR="006C66B8" w:rsidRPr="008442CD" w:rsidTr="000C702C">
        <w:trPr>
          <w:gridAfter w:val="5"/>
          <w:wAfter w:w="7640" w:type="dxa"/>
          <w:trHeight w:hRule="exact" w:val="10440"/>
        </w:trPr>
        <w:tc>
          <w:tcPr>
            <w:tcW w:w="26" w:type="dxa"/>
          </w:tcPr>
          <w:p w:rsidR="006C66B8" w:rsidRPr="00394ACA" w:rsidRDefault="006C66B8" w:rsidP="008442CD">
            <w:pPr>
              <w:ind w:right="-481"/>
              <w:rPr>
                <w:lang w:val="sk-SK"/>
              </w:rPr>
            </w:pPr>
          </w:p>
        </w:tc>
        <w:tc>
          <w:tcPr>
            <w:tcW w:w="24" w:type="dxa"/>
          </w:tcPr>
          <w:p w:rsidR="006C66B8" w:rsidRPr="00394ACA" w:rsidRDefault="006C66B8" w:rsidP="008442CD">
            <w:pPr>
              <w:ind w:right="-481"/>
              <w:rPr>
                <w:lang w:val="sk-SK"/>
              </w:rPr>
            </w:pPr>
          </w:p>
        </w:tc>
        <w:tc>
          <w:tcPr>
            <w:tcW w:w="20" w:type="dxa"/>
          </w:tcPr>
          <w:p w:rsidR="006C66B8" w:rsidRPr="00394ACA" w:rsidRDefault="006C66B8" w:rsidP="008442CD">
            <w:pPr>
              <w:ind w:right="-481"/>
              <w:rPr>
                <w:lang w:val="sk-SK"/>
              </w:rPr>
            </w:pPr>
          </w:p>
        </w:tc>
        <w:tc>
          <w:tcPr>
            <w:tcW w:w="20" w:type="dxa"/>
          </w:tcPr>
          <w:p w:rsidR="006C66B8" w:rsidRPr="00394ACA" w:rsidRDefault="006C66B8" w:rsidP="008442CD">
            <w:pPr>
              <w:ind w:right="-481"/>
              <w:rPr>
                <w:lang w:val="sk-SK"/>
              </w:rPr>
            </w:pPr>
          </w:p>
        </w:tc>
        <w:tc>
          <w:tcPr>
            <w:tcW w:w="8274" w:type="dxa"/>
          </w:tcPr>
          <w:p w:rsidR="000C702C" w:rsidRDefault="000C702C" w:rsidP="000C702C">
            <w:pPr>
              <w:tabs>
                <w:tab w:val="left" w:pos="3243"/>
              </w:tabs>
              <w:rPr>
                <w:lang w:val="sk-SK"/>
              </w:rPr>
            </w:pPr>
          </w:p>
          <w:tbl>
            <w:tblPr>
              <w:tblStyle w:val="Rozloenietabuky"/>
              <w:tblpPr w:leftFromText="141" w:rightFromText="141" w:vertAnchor="text" w:tblpX="-142" w:tblpY="1"/>
              <w:tblOverlap w:val="never"/>
              <w:tblW w:w="31470" w:type="dxa"/>
              <w:tblLayout w:type="fixed"/>
              <w:tblLook w:val="04A0" w:firstRow="1" w:lastRow="0" w:firstColumn="1" w:lastColumn="0" w:noHBand="0" w:noVBand="1"/>
            </w:tblPr>
            <w:tblGrid>
              <w:gridCol w:w="26"/>
              <w:gridCol w:w="24"/>
              <w:gridCol w:w="20"/>
              <w:gridCol w:w="20"/>
              <w:gridCol w:w="5562"/>
              <w:gridCol w:w="10083"/>
              <w:gridCol w:w="5652"/>
              <w:gridCol w:w="10083"/>
            </w:tblGrid>
            <w:tr w:rsidR="000C702C" w:rsidRPr="006C66B8" w:rsidTr="000C702C">
              <w:trPr>
                <w:trHeight w:hRule="exact" w:val="10800"/>
              </w:trPr>
              <w:tc>
                <w:tcPr>
                  <w:tcW w:w="15735" w:type="dxa"/>
                  <w:gridSpan w:val="6"/>
                </w:tcPr>
                <w:p w:rsidR="000C702C" w:rsidRPr="008442CD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32"/>
                      <w:lang w:val="sk-SK"/>
                    </w:rPr>
                  </w:pPr>
                  <w:r w:rsidRPr="008442CD">
                    <w:rPr>
                      <w:b/>
                      <w:color w:val="auto"/>
                      <w:sz w:val="32"/>
                      <w:lang w:val="sk-SK"/>
                    </w:rPr>
                    <w:t>Zberný dvor – Gyűjtőudvar</w:t>
                  </w:r>
                  <w:r>
                    <w:rPr>
                      <w:b/>
                      <w:color w:val="auto"/>
                      <w:sz w:val="32"/>
                      <w:lang w:val="sk-SK"/>
                    </w:rPr>
                    <w:t xml:space="preserve">                                       </w:t>
                  </w:r>
                  <w:r w:rsidR="00E24AE7">
                    <w:rPr>
                      <w:b/>
                      <w:color w:val="auto"/>
                      <w:sz w:val="32"/>
                      <w:lang w:val="sk-SK"/>
                    </w:rPr>
                    <w:t xml:space="preserve">                                             </w:t>
                  </w:r>
                  <w:r>
                    <w:rPr>
                      <w:b/>
                      <w:color w:val="auto"/>
                      <w:sz w:val="32"/>
                      <w:lang w:val="sk-SK"/>
                    </w:rPr>
                    <w:t xml:space="preserve">                                         </w:t>
                  </w:r>
                </w:p>
                <w:p w:rsidR="000C702C" w:rsidRPr="008442CD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32"/>
                      <w:lang w:val="sk-SK"/>
                    </w:rPr>
                  </w:pPr>
                  <w:r w:rsidRPr="008442CD">
                    <w:rPr>
                      <w:b/>
                      <w:color w:val="auto"/>
                      <w:sz w:val="32"/>
                      <w:lang w:val="sk-SK"/>
                    </w:rPr>
                    <w:t>Čakanská cesta – Csákányi út</w:t>
                  </w:r>
                </w:p>
                <w:p w:rsidR="000C702C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32"/>
                      <w:lang w:val="sk-SK"/>
                    </w:rPr>
                  </w:pPr>
                  <w:r w:rsidRPr="008442CD">
                    <w:rPr>
                      <w:b/>
                      <w:color w:val="auto"/>
                      <w:sz w:val="32"/>
                      <w:lang w:val="sk-SK"/>
                    </w:rPr>
                    <w:t xml:space="preserve">Otvorené – Nyitva: </w:t>
                  </w:r>
                </w:p>
                <w:p w:rsidR="000C702C" w:rsidRPr="008442CD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32"/>
                      <w:lang w:val="sk-SK"/>
                    </w:rPr>
                  </w:pPr>
                  <w:r w:rsidRPr="008442CD">
                    <w:rPr>
                      <w:b/>
                      <w:color w:val="auto"/>
                      <w:sz w:val="32"/>
                      <w:lang w:val="sk-SK"/>
                    </w:rPr>
                    <w:t>Po-So/Hé-Szo/: 08.00 – 17.00</w:t>
                  </w:r>
                </w:p>
                <w:p w:rsidR="000C702C" w:rsidRPr="008442CD" w:rsidRDefault="000C702C" w:rsidP="000C702C">
                  <w:pPr>
                    <w:pStyle w:val="Bezriadkovania1"/>
                    <w:ind w:right="-481"/>
                    <w:rPr>
                      <w:color w:val="auto"/>
                      <w:sz w:val="32"/>
                      <w:lang w:val="sk-SK"/>
                    </w:rPr>
                  </w:pPr>
                </w:p>
                <w:p w:rsidR="000C702C" w:rsidRPr="008442CD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32"/>
                      <w:lang w:val="sk-SK"/>
                    </w:rPr>
                  </w:pPr>
                  <w:r w:rsidRPr="008442CD">
                    <w:rPr>
                      <w:b/>
                      <w:color w:val="auto"/>
                      <w:sz w:val="22"/>
                      <w:lang w:val="sk-SK"/>
                    </w:rPr>
                    <w:t>Na zbernom dvore sa dá bezplatne odovzdať:</w:t>
                  </w:r>
                </w:p>
                <w:p w:rsidR="000C702C" w:rsidRPr="008442CD" w:rsidRDefault="000C702C" w:rsidP="000C702C">
                  <w:pPr>
                    <w:pStyle w:val="nadpis2"/>
                    <w:numPr>
                      <w:ilvl w:val="0"/>
                      <w:numId w:val="9"/>
                    </w:numPr>
                    <w:ind w:right="-481"/>
                    <w:rPr>
                      <w:b w:val="0"/>
                      <w:color w:val="auto"/>
                      <w:sz w:val="24"/>
                      <w:lang w:val="sk-SK"/>
                    </w:rPr>
                  </w:pPr>
                  <w:r w:rsidRPr="008442CD">
                    <w:rPr>
                      <w:b w:val="0"/>
                      <w:color w:val="auto"/>
                      <w:lang w:val="sk-SK"/>
                    </w:rPr>
                    <w:t>Bioodpad (konáre, lístie, tráva)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Elektroodpad (práčka, TV, chladnička – len v celosti)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Batérie a akumulátory</w:t>
                  </w:r>
                </w:p>
                <w:p w:rsidR="000C702C" w:rsidRPr="00975C93" w:rsidRDefault="000C702C" w:rsidP="00975C93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Objemný odpad (postele, sedačky, skrine)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Sklo – nie autosklá</w:t>
                  </w:r>
                  <w:r w:rsidR="001D33AD">
                    <w:rPr>
                      <w:color w:val="auto"/>
                      <w:sz w:val="22"/>
                      <w:lang w:val="sk-SK"/>
                    </w:rPr>
                    <w:t xml:space="preserve"> </w:t>
                  </w:r>
                </w:p>
                <w:p w:rsidR="000C702C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Plasty – nie odpad z rozobratých áut</w:t>
                  </w:r>
                </w:p>
                <w:p w:rsidR="000C702C" w:rsidRPr="008442CD" w:rsidRDefault="000C702C" w:rsidP="000C702C">
                  <w:pPr>
                    <w:pStyle w:val="Odsekzoznamu"/>
                    <w:ind w:right="-481"/>
                    <w:rPr>
                      <w:color w:val="auto"/>
                      <w:sz w:val="22"/>
                      <w:lang w:val="sk-SK"/>
                    </w:rPr>
                  </w:pPr>
                </w:p>
                <w:p w:rsidR="000C702C" w:rsidRPr="006C66B8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6C66B8">
                    <w:rPr>
                      <w:b/>
                      <w:color w:val="auto"/>
                      <w:sz w:val="22"/>
                      <w:lang w:val="sk-SK"/>
                    </w:rPr>
                    <w:t>A gyűjtőudvaron ingyenesen lehet leadni</w:t>
                  </w:r>
                  <w:r w:rsidRPr="006C66B8">
                    <w:rPr>
                      <w:color w:val="auto"/>
                      <w:sz w:val="22"/>
                      <w:lang w:val="sk-SK"/>
                    </w:rPr>
                    <w:t>: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Zöldhulladék</w:t>
                  </w:r>
                  <w:r w:rsidR="00E24AE7">
                    <w:rPr>
                      <w:color w:val="auto"/>
                      <w:sz w:val="22"/>
                      <w:lang w:val="sk-SK"/>
                    </w:rPr>
                    <w:t xml:space="preserve">                                                                                                                             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Elektromoshulladék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Akumlátorok</w:t>
                  </w:r>
                </w:p>
                <w:p w:rsidR="000C702C" w:rsidRPr="00975C93" w:rsidRDefault="000C702C" w:rsidP="00975C93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Nagydarabos hulladék</w:t>
                  </w:r>
                  <w:r w:rsidR="00774B4B">
                    <w:rPr>
                      <w:color w:val="auto"/>
                      <w:sz w:val="22"/>
                      <w:lang w:val="sk-SK"/>
                    </w:rPr>
                    <w:t xml:space="preserve"> (ágyak, szekrények)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>Üveg – nem autóüveg</w:t>
                  </w:r>
                </w:p>
                <w:p w:rsidR="000C702C" w:rsidRPr="008442CD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8442CD">
                    <w:rPr>
                      <w:color w:val="auto"/>
                      <w:sz w:val="22"/>
                      <w:lang w:val="sk-SK"/>
                    </w:rPr>
                    <w:t xml:space="preserve">Műanyag – nem autóbontásból </w:t>
                  </w:r>
                </w:p>
                <w:p w:rsidR="000C702C" w:rsidRPr="008442CD" w:rsidRDefault="000C702C" w:rsidP="000C702C">
                  <w:pPr>
                    <w:pStyle w:val="Odsekzoznamu"/>
                    <w:ind w:right="-481"/>
                    <w:rPr>
                      <w:color w:val="auto"/>
                      <w:sz w:val="22"/>
                      <w:lang w:val="sk-SK"/>
                    </w:rPr>
                  </w:pPr>
                </w:p>
                <w:p w:rsidR="000C702C" w:rsidRPr="00975C93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24"/>
                      <w:lang w:val="sk-SK"/>
                    </w:rPr>
                  </w:pPr>
                  <w:r w:rsidRPr="00975C93">
                    <w:rPr>
                      <w:b/>
                      <w:color w:val="auto"/>
                      <w:sz w:val="24"/>
                      <w:lang w:val="sk-SK"/>
                    </w:rPr>
                    <w:t>Drobný stavebný odpad je spoplatnený sumou 35 €/tona</w:t>
                  </w:r>
                </w:p>
                <w:p w:rsidR="000C702C" w:rsidRPr="006C66B8" w:rsidRDefault="000C702C" w:rsidP="000C702C">
                  <w:pPr>
                    <w:pStyle w:val="Odsekzoznamu"/>
                    <w:numPr>
                      <w:ilvl w:val="0"/>
                      <w:numId w:val="9"/>
                    </w:numPr>
                    <w:ind w:right="-481"/>
                    <w:rPr>
                      <w:color w:val="auto"/>
                      <w:sz w:val="22"/>
                      <w:lang w:val="sk-SK"/>
                    </w:rPr>
                  </w:pPr>
                  <w:r w:rsidRPr="00975C93">
                    <w:rPr>
                      <w:b/>
                      <w:color w:val="auto"/>
                      <w:sz w:val="24"/>
                      <w:lang w:val="sk-SK"/>
                    </w:rPr>
                    <w:t>Az apró építkezési hulladék lerakati díja        35 €/tonna</w:t>
                  </w:r>
                </w:p>
              </w:tc>
              <w:tc>
                <w:tcPr>
                  <w:tcW w:w="15735" w:type="dxa"/>
                  <w:gridSpan w:val="2"/>
                </w:tcPr>
                <w:p w:rsidR="000C702C" w:rsidRPr="008442CD" w:rsidRDefault="000C702C" w:rsidP="000C702C">
                  <w:pPr>
                    <w:pStyle w:val="Bezriadkovania1"/>
                    <w:numPr>
                      <w:ilvl w:val="0"/>
                      <w:numId w:val="9"/>
                    </w:numPr>
                    <w:ind w:right="-481"/>
                    <w:rPr>
                      <w:b/>
                      <w:color w:val="auto"/>
                      <w:sz w:val="32"/>
                      <w:lang w:val="sk-SK"/>
                    </w:rPr>
                  </w:pPr>
                </w:p>
              </w:tc>
            </w:tr>
            <w:tr w:rsidR="000C702C" w:rsidRPr="000C702C" w:rsidTr="000C702C">
              <w:trPr>
                <w:gridAfter w:val="1"/>
                <w:wAfter w:w="10083" w:type="dxa"/>
                <w:trHeight w:hRule="exact" w:val="10440"/>
              </w:trPr>
              <w:tc>
                <w:tcPr>
                  <w:tcW w:w="26" w:type="dxa"/>
                </w:tcPr>
                <w:p w:rsidR="000C702C" w:rsidRPr="00394ACA" w:rsidRDefault="000C702C" w:rsidP="000C702C">
                  <w:pPr>
                    <w:ind w:right="-481"/>
                    <w:rPr>
                      <w:lang w:val="sk-SK"/>
                    </w:rPr>
                  </w:pPr>
                </w:p>
              </w:tc>
              <w:tc>
                <w:tcPr>
                  <w:tcW w:w="24" w:type="dxa"/>
                </w:tcPr>
                <w:p w:rsidR="000C702C" w:rsidRPr="00394ACA" w:rsidRDefault="000C702C" w:rsidP="000C702C">
                  <w:pPr>
                    <w:ind w:right="-481"/>
                    <w:rPr>
                      <w:lang w:val="sk-SK"/>
                    </w:rPr>
                  </w:pPr>
                </w:p>
              </w:tc>
              <w:tc>
                <w:tcPr>
                  <w:tcW w:w="20" w:type="dxa"/>
                </w:tcPr>
                <w:p w:rsidR="000C702C" w:rsidRPr="00394ACA" w:rsidRDefault="000C702C" w:rsidP="000C702C">
                  <w:pPr>
                    <w:ind w:right="-481"/>
                    <w:rPr>
                      <w:lang w:val="sk-SK"/>
                    </w:rPr>
                  </w:pPr>
                </w:p>
              </w:tc>
              <w:tc>
                <w:tcPr>
                  <w:tcW w:w="20" w:type="dxa"/>
                </w:tcPr>
                <w:p w:rsidR="000C702C" w:rsidRPr="00394ACA" w:rsidRDefault="000C702C" w:rsidP="000C702C">
                  <w:pPr>
                    <w:ind w:right="-481"/>
                    <w:rPr>
                      <w:lang w:val="sk-SK"/>
                    </w:rPr>
                  </w:pPr>
                </w:p>
              </w:tc>
              <w:tc>
                <w:tcPr>
                  <w:tcW w:w="5562" w:type="dxa"/>
                </w:tcPr>
                <w:p w:rsidR="000C702C" w:rsidRDefault="000C702C" w:rsidP="000C702C">
                  <w:pPr>
                    <w:tabs>
                      <w:tab w:val="left" w:pos="3243"/>
                    </w:tabs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Default="000C702C" w:rsidP="000C702C">
                  <w:pPr>
                    <w:rPr>
                      <w:lang w:val="sk-SK"/>
                    </w:rPr>
                  </w:pPr>
                </w:p>
                <w:p w:rsidR="000C702C" w:rsidRPr="000C702C" w:rsidRDefault="000C702C" w:rsidP="000C702C">
                  <w:pPr>
                    <w:jc w:val="right"/>
                    <w:rPr>
                      <w:lang w:val="sk-SK"/>
                    </w:rPr>
                  </w:pPr>
                </w:p>
              </w:tc>
              <w:tc>
                <w:tcPr>
                  <w:tcW w:w="15735" w:type="dxa"/>
                  <w:gridSpan w:val="2"/>
                </w:tcPr>
                <w:p w:rsidR="000C702C" w:rsidRDefault="000C702C" w:rsidP="000C702C">
                  <w:pPr>
                    <w:tabs>
                      <w:tab w:val="left" w:pos="3243"/>
                    </w:tabs>
                    <w:rPr>
                      <w:lang w:val="sk-SK"/>
                    </w:rPr>
                  </w:pPr>
                </w:p>
              </w:tc>
            </w:tr>
          </w:tbl>
          <w:p w:rsidR="000C702C" w:rsidRPr="000C702C" w:rsidRDefault="000C702C" w:rsidP="000C702C">
            <w:pPr>
              <w:rPr>
                <w:lang w:val="sk-SK"/>
              </w:rPr>
            </w:pPr>
          </w:p>
          <w:p w:rsidR="000C702C" w:rsidRPr="000C702C" w:rsidRDefault="000C702C" w:rsidP="000C702C">
            <w:pPr>
              <w:rPr>
                <w:lang w:val="sk-SK"/>
              </w:rPr>
            </w:pPr>
          </w:p>
          <w:p w:rsidR="000C702C" w:rsidRPr="000C702C" w:rsidRDefault="000C702C" w:rsidP="000C702C">
            <w:pPr>
              <w:rPr>
                <w:lang w:val="sk-SK"/>
              </w:rPr>
            </w:pPr>
          </w:p>
          <w:p w:rsidR="000C702C" w:rsidRPr="000C702C" w:rsidRDefault="000C702C" w:rsidP="000C702C">
            <w:pPr>
              <w:rPr>
                <w:lang w:val="sk-SK"/>
              </w:rPr>
            </w:pPr>
          </w:p>
          <w:p w:rsidR="000C702C" w:rsidRPr="000C702C" w:rsidRDefault="000C702C" w:rsidP="000C702C">
            <w:pPr>
              <w:rPr>
                <w:lang w:val="sk-SK"/>
              </w:rPr>
            </w:pPr>
          </w:p>
          <w:p w:rsidR="000C702C" w:rsidRDefault="000C702C" w:rsidP="000C702C">
            <w:pPr>
              <w:rPr>
                <w:lang w:val="sk-SK"/>
              </w:rPr>
            </w:pPr>
          </w:p>
          <w:p w:rsidR="006C66B8" w:rsidRPr="000C702C" w:rsidRDefault="006C66B8" w:rsidP="000C702C">
            <w:pPr>
              <w:jc w:val="right"/>
              <w:rPr>
                <w:lang w:val="sk-SK"/>
              </w:rPr>
            </w:pPr>
          </w:p>
        </w:tc>
      </w:tr>
    </w:tbl>
    <w:p w:rsidR="0031425C" w:rsidRDefault="0031425C">
      <w:pPr>
        <w:pStyle w:val="Bezriadkovania1"/>
        <w:rPr>
          <w:sz w:val="2"/>
          <w:szCs w:val="2"/>
          <w:lang w:val="sk-SK"/>
        </w:rPr>
      </w:pPr>
    </w:p>
    <w:p w:rsidR="00E24AE7" w:rsidRDefault="000C702C">
      <w:pPr>
        <w:pStyle w:val="Bezriadkovania1"/>
        <w:rPr>
          <w:sz w:val="2"/>
          <w:szCs w:val="2"/>
          <w:lang w:val="sk-SK"/>
        </w:rPr>
      </w:pPr>
      <w:r>
        <w:rPr>
          <w:sz w:val="2"/>
          <w:szCs w:val="2"/>
          <w:lang w:val="sk-SK"/>
        </w:rPr>
        <w:t xml:space="preserve"> </w:t>
      </w: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A818B6" w:rsidP="00A818B6">
      <w:pPr>
        <w:pStyle w:val="Bezriadkovania1"/>
        <w:tabs>
          <w:tab w:val="left" w:pos="1829"/>
        </w:tabs>
        <w:rPr>
          <w:sz w:val="2"/>
          <w:szCs w:val="2"/>
          <w:lang w:val="sk-SK"/>
        </w:rPr>
      </w:pPr>
      <w:r>
        <w:rPr>
          <w:sz w:val="2"/>
          <w:szCs w:val="2"/>
          <w:lang w:val="sk-SK"/>
        </w:rPr>
        <w:tab/>
      </w: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Default="00E24AE7">
      <w:pPr>
        <w:pStyle w:val="Bezriadkovania1"/>
        <w:rPr>
          <w:sz w:val="2"/>
          <w:szCs w:val="2"/>
          <w:lang w:val="sk-SK"/>
        </w:rPr>
      </w:pPr>
    </w:p>
    <w:p w:rsidR="00E24AE7" w:rsidRPr="005E6438" w:rsidRDefault="00E24AE7">
      <w:pPr>
        <w:pStyle w:val="Bezriadkovania1"/>
        <w:rPr>
          <w:noProof/>
          <w:color w:val="auto"/>
          <w:sz w:val="28"/>
          <w:lang w:val="sk-SK" w:eastAsia="sk-SK"/>
        </w:rPr>
      </w:pPr>
    </w:p>
    <w:tbl>
      <w:tblPr>
        <w:tblStyle w:val="Rozloenietabuky1"/>
        <w:tblW w:w="1933" w:type="pct"/>
        <w:tblLayout w:type="fixed"/>
        <w:tblLook w:val="04A0" w:firstRow="1" w:lastRow="0" w:firstColumn="1" w:lastColumn="0" w:noHBand="0" w:noVBand="1"/>
      </w:tblPr>
      <w:tblGrid>
        <w:gridCol w:w="5953"/>
      </w:tblGrid>
      <w:tr w:rsidR="00E24AE7" w:rsidRPr="00E24AE7" w:rsidTr="00E24AE7">
        <w:trPr>
          <w:trHeight w:hRule="exact" w:val="3240"/>
        </w:trPr>
        <w:sdt>
          <w:sdtPr>
            <w:rPr>
              <w:color w:val="auto"/>
              <w:sz w:val="56"/>
              <w:lang w:val="sk-SK"/>
            </w:rPr>
            <w:alias w:val="Spoločnosť"/>
            <w:tag w:val=""/>
            <w:id w:val="1274751255"/>
            <w:placeholder>
              <w:docPart w:val="BB795597FB03466ABCFBEAC3606374A1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5000" w:type="pct"/>
                <w:shd w:val="clear" w:color="auto" w:fill="92D050"/>
              </w:tcPr>
              <w:p w:rsidR="00E24AE7" w:rsidRPr="00E24AE7" w:rsidRDefault="00E24AE7" w:rsidP="00E24AE7">
                <w:pPr>
                  <w:tabs>
                    <w:tab w:val="left" w:pos="1845"/>
                  </w:tabs>
                  <w:rPr>
                    <w:color w:val="auto"/>
                  </w:rPr>
                </w:pPr>
                <w:r w:rsidRPr="00DC35D4">
                  <w:rPr>
                    <w:color w:val="auto"/>
                    <w:sz w:val="56"/>
                    <w:lang w:val="sk-SK"/>
                  </w:rPr>
                  <w:t>Zlaté Klasy  Na</w:t>
                </w:r>
                <w:r w:rsidR="00E11BF9">
                  <w:rPr>
                    <w:color w:val="auto"/>
                    <w:sz w:val="56"/>
                    <w:lang w:val="sk-SK"/>
                  </w:rPr>
                  <w:t>g</w:t>
                </w:r>
                <w:r w:rsidRPr="00DC35D4">
                  <w:rPr>
                    <w:color w:val="auto"/>
                    <w:sz w:val="56"/>
                    <w:lang w:val="sk-SK"/>
                  </w:rPr>
                  <w:t>ymagyar</w:t>
                </w:r>
              </w:p>
            </w:tc>
          </w:sdtContent>
        </w:sdt>
      </w:tr>
      <w:tr w:rsidR="00E24AE7" w:rsidRPr="00E24AE7" w:rsidTr="00E24AE7">
        <w:trPr>
          <w:trHeight w:hRule="exact" w:val="1440"/>
        </w:trPr>
        <w:tc>
          <w:tcPr>
            <w:tcW w:w="5000" w:type="pct"/>
            <w:shd w:val="clear" w:color="auto" w:fill="92D050"/>
            <w:vAlign w:val="bottom"/>
          </w:tcPr>
          <w:p w:rsidR="00A601EA" w:rsidRDefault="00E24AE7" w:rsidP="00E24AE7">
            <w:pPr>
              <w:numPr>
                <w:ilvl w:val="1"/>
                <w:numId w:val="0"/>
              </w:numPr>
              <w:spacing w:after="360" w:line="264" w:lineRule="auto"/>
              <w:ind w:left="288" w:right="288"/>
              <w:rPr>
                <w:i/>
                <w:iCs/>
                <w:color w:val="auto"/>
                <w:sz w:val="28"/>
                <w:lang w:val="sk-SK"/>
              </w:rPr>
            </w:pPr>
            <w:r w:rsidRPr="00E24AE7">
              <w:rPr>
                <w:i/>
                <w:iCs/>
                <w:color w:val="auto"/>
                <w:sz w:val="28"/>
                <w:lang w:val="sk-SK"/>
              </w:rPr>
              <w:t xml:space="preserve">Triedime odpad.       </w:t>
            </w:r>
          </w:p>
          <w:p w:rsidR="00E24AE7" w:rsidRPr="00E24AE7" w:rsidRDefault="00E24AE7" w:rsidP="00E24AE7">
            <w:pPr>
              <w:numPr>
                <w:ilvl w:val="1"/>
                <w:numId w:val="0"/>
              </w:numPr>
              <w:spacing w:after="360" w:line="264" w:lineRule="auto"/>
              <w:ind w:left="288" w:right="288"/>
              <w:rPr>
                <w:i/>
                <w:iCs/>
                <w:color w:val="auto"/>
                <w:sz w:val="28"/>
                <w:lang w:val="sk-SK"/>
              </w:rPr>
            </w:pPr>
            <w:r w:rsidRPr="00E24AE7">
              <w:rPr>
                <w:i/>
                <w:iCs/>
                <w:color w:val="auto"/>
                <w:sz w:val="28"/>
                <w:lang w:val="sk-SK"/>
              </w:rPr>
              <w:t>Osztályozzuk a hulladékot.</w:t>
            </w:r>
          </w:p>
        </w:tc>
      </w:tr>
    </w:tbl>
    <w:p w:rsidR="00F9700E" w:rsidRDefault="0093698B">
      <w:pPr>
        <w:pStyle w:val="Bezriadkovania1"/>
        <w:rPr>
          <w:sz w:val="2"/>
          <w:szCs w:val="2"/>
          <w:lang w:val="sk-SK"/>
        </w:rPr>
      </w:pPr>
      <w:r>
        <w:rPr>
          <w:sz w:val="2"/>
          <w:szCs w:val="2"/>
          <w:lang w:val="sk-SK"/>
        </w:rPr>
        <w:br w:type="textWrapping" w:clear="all"/>
      </w:r>
    </w:p>
    <w:p w:rsidR="0031425C" w:rsidRDefault="0031425C">
      <w:pPr>
        <w:pStyle w:val="Bezriadkovania1"/>
        <w:rPr>
          <w:sz w:val="2"/>
          <w:szCs w:val="2"/>
          <w:lang w:val="sk-SK"/>
        </w:rPr>
      </w:pPr>
    </w:p>
    <w:p w:rsidR="0031425C" w:rsidRDefault="0031425C">
      <w:pPr>
        <w:pStyle w:val="Bezriadkovania1"/>
        <w:rPr>
          <w:sz w:val="2"/>
          <w:szCs w:val="2"/>
          <w:lang w:val="sk-SK"/>
        </w:rPr>
      </w:pPr>
    </w:p>
    <w:p w:rsidR="0031425C" w:rsidRPr="00394ACA" w:rsidRDefault="0031425C">
      <w:pPr>
        <w:pStyle w:val="Bezriadkovania1"/>
        <w:rPr>
          <w:sz w:val="2"/>
          <w:szCs w:val="2"/>
          <w:lang w:val="sk-SK"/>
        </w:rPr>
      </w:pPr>
    </w:p>
    <w:sectPr w:rsidR="0031425C" w:rsidRPr="00394ACA" w:rsidSect="00E40B4E">
      <w:pgSz w:w="16839" w:h="11907" w:orient="landscape" w:code="9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FB" w:rsidRDefault="00BE62FB" w:rsidP="0093698B">
      <w:pPr>
        <w:spacing w:after="0" w:line="240" w:lineRule="auto"/>
      </w:pPr>
      <w:r>
        <w:separator/>
      </w:r>
    </w:p>
  </w:endnote>
  <w:endnote w:type="continuationSeparator" w:id="0">
    <w:p w:rsidR="00BE62FB" w:rsidRDefault="00BE62FB" w:rsidP="0093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FB" w:rsidRDefault="00BE62FB" w:rsidP="0093698B">
      <w:pPr>
        <w:spacing w:after="0" w:line="240" w:lineRule="auto"/>
      </w:pPr>
      <w:r>
        <w:separator/>
      </w:r>
    </w:p>
  </w:footnote>
  <w:footnote w:type="continuationSeparator" w:id="0">
    <w:p w:rsidR="00BE62FB" w:rsidRDefault="00BE62FB" w:rsidP="00936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Zoznamsodrkami1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12254134"/>
    <w:multiLevelType w:val="hybridMultilevel"/>
    <w:tmpl w:val="6D5E1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62AA"/>
    <w:multiLevelType w:val="hybridMultilevel"/>
    <w:tmpl w:val="CB482CD2"/>
    <w:lvl w:ilvl="0" w:tplc="B818F418">
      <w:numFmt w:val="bullet"/>
      <w:lvlText w:val="-"/>
      <w:lvlJc w:val="left"/>
      <w:pPr>
        <w:ind w:left="720" w:hanging="360"/>
      </w:pPr>
      <w:rPr>
        <w:rFonts w:ascii="Book Antiqua" w:eastAsiaTheme="majorEastAsia" w:hAnsi="Book Antiqua" w:cstheme="maj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7C0C"/>
    <w:multiLevelType w:val="hybridMultilevel"/>
    <w:tmpl w:val="520AD2CC"/>
    <w:lvl w:ilvl="0" w:tplc="D728D906">
      <w:numFmt w:val="bullet"/>
      <w:lvlText w:val="-"/>
      <w:lvlJc w:val="left"/>
      <w:pPr>
        <w:ind w:left="495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B9"/>
    <w:rsid w:val="00033FEB"/>
    <w:rsid w:val="0004776F"/>
    <w:rsid w:val="000C702C"/>
    <w:rsid w:val="00167772"/>
    <w:rsid w:val="001C014A"/>
    <w:rsid w:val="001D33AD"/>
    <w:rsid w:val="002667BE"/>
    <w:rsid w:val="002B3BF5"/>
    <w:rsid w:val="002E306B"/>
    <w:rsid w:val="002E7521"/>
    <w:rsid w:val="0031425C"/>
    <w:rsid w:val="00394ACA"/>
    <w:rsid w:val="004151E8"/>
    <w:rsid w:val="00453F7E"/>
    <w:rsid w:val="004A6FB9"/>
    <w:rsid w:val="004C470C"/>
    <w:rsid w:val="00524533"/>
    <w:rsid w:val="00545560"/>
    <w:rsid w:val="0055589F"/>
    <w:rsid w:val="005A03F7"/>
    <w:rsid w:val="005C075A"/>
    <w:rsid w:val="005E6438"/>
    <w:rsid w:val="005F0854"/>
    <w:rsid w:val="006A1872"/>
    <w:rsid w:val="006C66B8"/>
    <w:rsid w:val="006E10D3"/>
    <w:rsid w:val="00713889"/>
    <w:rsid w:val="00774B4B"/>
    <w:rsid w:val="008442CD"/>
    <w:rsid w:val="00850D98"/>
    <w:rsid w:val="0093698B"/>
    <w:rsid w:val="00975C93"/>
    <w:rsid w:val="009C0C1F"/>
    <w:rsid w:val="00A44CA9"/>
    <w:rsid w:val="00A56F71"/>
    <w:rsid w:val="00A601EA"/>
    <w:rsid w:val="00A818B6"/>
    <w:rsid w:val="00B429FF"/>
    <w:rsid w:val="00B55D71"/>
    <w:rsid w:val="00B84AC3"/>
    <w:rsid w:val="00BE62FB"/>
    <w:rsid w:val="00BF35FE"/>
    <w:rsid w:val="00C70E2C"/>
    <w:rsid w:val="00CE1D7A"/>
    <w:rsid w:val="00D14816"/>
    <w:rsid w:val="00D437F4"/>
    <w:rsid w:val="00D45184"/>
    <w:rsid w:val="00D77BC9"/>
    <w:rsid w:val="00DC35D4"/>
    <w:rsid w:val="00E11BF9"/>
    <w:rsid w:val="00E24AE7"/>
    <w:rsid w:val="00E40B4E"/>
    <w:rsid w:val="00EC2F07"/>
    <w:rsid w:val="00ED5D06"/>
    <w:rsid w:val="00F33E3F"/>
    <w:rsid w:val="00F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D5AA-67E3-402E-BE3C-661F6EA5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7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">
    <w:name w:val="nadpis 1"/>
    <w:basedOn w:val="Normlny"/>
    <w:next w:val="Normlny"/>
    <w:link w:val="Znaknadpisu1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nadpis2">
    <w:name w:val="nadpis 2"/>
    <w:basedOn w:val="Normlny"/>
    <w:next w:val="Normlny"/>
    <w:link w:val="Znaknadpisu2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customStyle="1" w:styleId="nadpis3">
    <w:name w:val="nadpis 3"/>
    <w:basedOn w:val="Normlny"/>
    <w:next w:val="Normlny"/>
    <w:link w:val="Znaknadpisu3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table" w:customStyle="1" w:styleId="Mriekatabuky1">
    <w:name w:val="Mriežka tabuľky1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ozloenietabuky">
    <w:name w:val="Rozloženie tabuľky"/>
    <w:basedOn w:val="Normlnatabuka"/>
    <w:uiPriority w:val="99"/>
    <w:tblPr>
      <w:tblCellMar>
        <w:left w:w="0" w:type="dxa"/>
        <w:right w:w="0" w:type="dxa"/>
      </w:tblCellMar>
    </w:tblPr>
  </w:style>
  <w:style w:type="paragraph" w:customStyle="1" w:styleId="popis">
    <w:name w:val="popis"/>
    <w:basedOn w:val="Normlny"/>
    <w:next w:val="Normlny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Znaknadpisu2">
    <w:name w:val="Znak nadpisu 2"/>
    <w:basedOn w:val="Predvolenpsmoodseku"/>
    <w:link w:val="nadpis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customStyle="1" w:styleId="Zstupntext1">
    <w:name w:val="Zástupný text1"/>
    <w:basedOn w:val="Predvolenpsmoodseku"/>
    <w:uiPriority w:val="99"/>
    <w:semiHidden/>
    <w:rPr>
      <w:color w:val="808080"/>
    </w:rPr>
  </w:style>
  <w:style w:type="paragraph" w:customStyle="1" w:styleId="Zoznamsodrkami1">
    <w:name w:val="Zoznam s odrážkami1"/>
    <w:basedOn w:val="Normlny"/>
    <w:uiPriority w:val="1"/>
    <w:unhideWhenUsed/>
    <w:qFormat/>
    <w:pPr>
      <w:numPr>
        <w:numId w:val="2"/>
      </w:numPr>
    </w:pPr>
  </w:style>
  <w:style w:type="character" w:customStyle="1" w:styleId="Znaknadpisu1">
    <w:name w:val="Znak nadpisu 1"/>
    <w:basedOn w:val="Predvolenpsmoodseku"/>
    <w:link w:val="nadpis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Spolonos">
    <w:name w:val="Spoločnosť"/>
    <w:basedOn w:val="Normlny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customStyle="1" w:styleId="pta">
    <w:name w:val="päta"/>
    <w:basedOn w:val="Normlny"/>
    <w:link w:val="Znakpty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Znakpty">
    <w:name w:val="Znak päty"/>
    <w:basedOn w:val="Predvolenpsmoodseku"/>
    <w:link w:val="pta"/>
    <w:uiPriority w:val="2"/>
    <w:rPr>
      <w:rFonts w:asciiTheme="minorHAnsi" w:eastAsiaTheme="minorEastAsia" w:hAnsiTheme="minorHAnsi" w:cstheme="minorBidi"/>
      <w:sz w:val="17"/>
    </w:rPr>
  </w:style>
  <w:style w:type="paragraph" w:customStyle="1" w:styleId="Nzov1">
    <w:name w:val="Názov1"/>
    <w:basedOn w:val="Normlny"/>
    <w:next w:val="Normlny"/>
    <w:link w:val="Znaknzvu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Znaknzvu">
    <w:name w:val="Znak názvu"/>
    <w:basedOn w:val="Predvolenpsmoodseku"/>
    <w:link w:val="Nzov1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customStyle="1" w:styleId="Podtitul1">
    <w:name w:val="Podtitul1"/>
    <w:basedOn w:val="Normlny"/>
    <w:next w:val="Normlny"/>
    <w:link w:val="Znakpodnadpisu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Znakpodnadpisu">
    <w:name w:val="Znak podnadpisu"/>
    <w:basedOn w:val="Predvolenpsmoodseku"/>
    <w:link w:val="Podtitul1"/>
    <w:uiPriority w:val="1"/>
    <w:rPr>
      <w:i/>
      <w:iCs/>
      <w:color w:val="FFFFFF" w:themeColor="background1"/>
      <w:sz w:val="24"/>
    </w:rPr>
  </w:style>
  <w:style w:type="paragraph" w:customStyle="1" w:styleId="Bezriadkovania1">
    <w:name w:val="Bez riadkovania1"/>
    <w:uiPriority w:val="99"/>
    <w:qFormat/>
    <w:pPr>
      <w:spacing w:after="0" w:line="240" w:lineRule="auto"/>
    </w:pPr>
  </w:style>
  <w:style w:type="paragraph" w:customStyle="1" w:styleId="Citcia1">
    <w:name w:val="Citácia1"/>
    <w:basedOn w:val="Normlny"/>
    <w:next w:val="Normlny"/>
    <w:link w:val="Znakcitcie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Znakcitcie">
    <w:name w:val="Znak citácie"/>
    <w:basedOn w:val="Predvolenpsmoodseku"/>
    <w:link w:val="Citcia1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Znaknadpisu3">
    <w:name w:val="Znak nadpisu 3"/>
    <w:basedOn w:val="Predvolenpsmoodseku"/>
    <w:link w:val="nadpis3"/>
    <w:uiPriority w:val="9"/>
    <w:semiHidden/>
    <w:rPr>
      <w:b/>
      <w:bCs/>
    </w:rPr>
  </w:style>
  <w:style w:type="character" w:styleId="Zstupntext">
    <w:name w:val="Placeholder Text"/>
    <w:basedOn w:val="Predvolenpsmoodseku"/>
    <w:uiPriority w:val="99"/>
    <w:semiHidden/>
    <w:rsid w:val="002E7521"/>
    <w:rPr>
      <w:color w:val="808080"/>
    </w:rPr>
  </w:style>
  <w:style w:type="paragraph" w:styleId="Odsekzoznamu">
    <w:name w:val="List Paragraph"/>
    <w:basedOn w:val="Normlny"/>
    <w:uiPriority w:val="34"/>
    <w:unhideWhenUsed/>
    <w:qFormat/>
    <w:rsid w:val="005A03F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47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70C"/>
    <w:rPr>
      <w:rFonts w:ascii="Segoe UI" w:hAnsi="Segoe UI" w:cs="Segoe UI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3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698B"/>
  </w:style>
  <w:style w:type="paragraph" w:styleId="Pta0">
    <w:name w:val="footer"/>
    <w:basedOn w:val="Normlny"/>
    <w:link w:val="PtaChar"/>
    <w:uiPriority w:val="2"/>
    <w:unhideWhenUsed/>
    <w:qFormat/>
    <w:rsid w:val="0093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0"/>
    <w:uiPriority w:val="2"/>
    <w:rsid w:val="0093698B"/>
  </w:style>
  <w:style w:type="table" w:customStyle="1" w:styleId="Rozloenietabuky1">
    <w:name w:val="Rozloženie tabuľky1"/>
    <w:basedOn w:val="Normlnatabuka"/>
    <w:uiPriority w:val="99"/>
    <w:rsid w:val="00E24AE7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icsay\AppData\Roaming\Microsoft\Templates\Bro&#382;&#250;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795597FB03466ABCFBEAC3606374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F1664A-0BC0-4876-8BF2-4028604785B9}"/>
      </w:docPartPr>
      <w:docPartBody>
        <w:p w:rsidR="002232AF" w:rsidRDefault="00AF438B" w:rsidP="00AF438B">
          <w:pPr>
            <w:pStyle w:val="BB795597FB03466ABCFBEAC3606374A1"/>
          </w:pPr>
          <w:r w:rsidRPr="00394ACA">
            <w:t>[Názov spoločnosti]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B"/>
    <w:rsid w:val="002232AF"/>
    <w:rsid w:val="003F6D5D"/>
    <w:rsid w:val="00637AEB"/>
    <w:rsid w:val="00A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B795597FB03466ABCFBEAC3606374A1">
    <w:name w:val="BB795597FB03466ABCFBEAC3606374A1"/>
    <w:rsid w:val="00AF4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4C62D-C0CF-4ED9-A92B-DCAD7931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Brožúra</Template>
  <TotalTime>382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Zlaté Klasy  Nagymagyar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Csicsay</dc:creator>
  <cp:keywords/>
  <cp:lastModifiedBy>MIKÓCZIOVÁ Anikó</cp:lastModifiedBy>
  <cp:revision>13</cp:revision>
  <cp:lastPrinted>2017-01-16T13:01:00Z</cp:lastPrinted>
  <dcterms:created xsi:type="dcterms:W3CDTF">2016-12-06T11:52:00Z</dcterms:created>
  <dcterms:modified xsi:type="dcterms:W3CDTF">2017-01-16T13:01:00Z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TC029118989991</vt:lpwstr>
  </property>
</Properties>
</file>